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970DC" w14:textId="77777777" w:rsidR="00AD26BA" w:rsidRDefault="009577A4">
      <w:pPr>
        <w:pBdr>
          <w:top w:val="single" w:sz="48" w:space="0" w:color="C00000"/>
          <w:left w:val="single" w:sz="48" w:space="0" w:color="C00000"/>
          <w:bottom w:val="single" w:sz="48" w:space="0" w:color="C00000"/>
          <w:right w:val="single" w:sz="48" w:space="0" w:color="C00000"/>
        </w:pBdr>
        <w:shd w:val="clear" w:color="auto" w:fill="FFFF00"/>
        <w:spacing w:after="0" w:line="259" w:lineRule="auto"/>
        <w:ind w:left="844" w:right="221" w:firstLine="0"/>
        <w:jc w:val="center"/>
      </w:pPr>
      <w:r>
        <w:rPr>
          <w:rFonts w:ascii="Sylfaen" w:eastAsia="Sylfaen" w:hAnsi="Sylfaen" w:cs="Sylfaen"/>
          <w:sz w:val="40"/>
        </w:rPr>
        <w:t xml:space="preserve">Chapter 5: </w:t>
      </w:r>
    </w:p>
    <w:p w14:paraId="58BB952B" w14:textId="77777777" w:rsidR="00AD26BA" w:rsidRDefault="009577A4">
      <w:pPr>
        <w:pBdr>
          <w:top w:val="single" w:sz="48" w:space="0" w:color="C00000"/>
          <w:left w:val="single" w:sz="48" w:space="0" w:color="C00000"/>
          <w:bottom w:val="single" w:sz="48" w:space="0" w:color="C00000"/>
          <w:right w:val="single" w:sz="48" w:space="0" w:color="C00000"/>
        </w:pBdr>
        <w:shd w:val="clear" w:color="auto" w:fill="FFFF00"/>
        <w:spacing w:after="514" w:line="259" w:lineRule="auto"/>
        <w:ind w:left="844" w:right="221" w:firstLine="0"/>
        <w:jc w:val="left"/>
      </w:pPr>
      <w:r>
        <w:rPr>
          <w:rFonts w:ascii="Sylfaen" w:eastAsia="Sylfaen" w:hAnsi="Sylfaen" w:cs="Sylfaen"/>
          <w:sz w:val="40"/>
        </w:rPr>
        <w:t>Conditions for Closing a Meeting</w:t>
      </w:r>
      <w:r>
        <w:rPr>
          <w:rFonts w:ascii="Sylfaen" w:eastAsia="Sylfaen" w:hAnsi="Sylfaen" w:cs="Sylfaen"/>
        </w:rPr>
        <w:t xml:space="preserve"> </w:t>
      </w:r>
    </w:p>
    <w:p w14:paraId="2F566605" w14:textId="77777777" w:rsidR="00AD26BA" w:rsidRDefault="009577A4">
      <w:pPr>
        <w:spacing w:after="0" w:line="259" w:lineRule="auto"/>
        <w:ind w:left="79" w:right="0" w:firstLine="0"/>
        <w:jc w:val="center"/>
      </w:pPr>
      <w:r>
        <w:rPr>
          <w:rFonts w:ascii="Garamond" w:eastAsia="Garamond" w:hAnsi="Garamond" w:cs="Garamond"/>
          <w:b/>
          <w:sz w:val="32"/>
        </w:rPr>
        <w:t xml:space="preserve"> </w:t>
      </w:r>
    </w:p>
    <w:p w14:paraId="209487AA" w14:textId="77777777" w:rsidR="00AD26BA" w:rsidRDefault="009577A4">
      <w:pPr>
        <w:spacing w:after="0" w:line="239" w:lineRule="auto"/>
        <w:ind w:right="0" w:firstLine="0"/>
        <w:jc w:val="left"/>
      </w:pPr>
      <w:r>
        <w:rPr>
          <w:b/>
          <w:sz w:val="32"/>
        </w:rPr>
        <w:t xml:space="preserve">Chapter 5: Did the public body take the necessary steps before, during, and after the closed session? </w:t>
      </w:r>
    </w:p>
    <w:p w14:paraId="7D2540EC" w14:textId="77777777" w:rsidR="00AD26BA" w:rsidRDefault="009577A4">
      <w:pPr>
        <w:spacing w:after="0" w:line="259" w:lineRule="auto"/>
        <w:ind w:right="0" w:firstLine="0"/>
        <w:jc w:val="left"/>
      </w:pPr>
      <w:r>
        <w:rPr>
          <w:b/>
          <w:sz w:val="32"/>
        </w:rPr>
        <w:t xml:space="preserve"> </w:t>
      </w:r>
    </w:p>
    <w:p w14:paraId="19389878" w14:textId="77777777" w:rsidR="00AD26BA" w:rsidRDefault="009577A4">
      <w:pPr>
        <w:spacing w:after="0" w:line="259" w:lineRule="auto"/>
        <w:ind w:firstLine="0"/>
        <w:jc w:val="center"/>
      </w:pPr>
      <w:r>
        <w:t xml:space="preserve">(Index Topic 5) </w:t>
      </w:r>
    </w:p>
    <w:p w14:paraId="2B3DFB74" w14:textId="77777777" w:rsidR="00AD26BA" w:rsidRDefault="009577A4">
      <w:pPr>
        <w:spacing w:after="7" w:line="259" w:lineRule="auto"/>
        <w:ind w:right="0" w:firstLine="0"/>
        <w:jc w:val="left"/>
      </w:pPr>
      <w:r>
        <w:t xml:space="preserve"> </w:t>
      </w:r>
    </w:p>
    <w:p w14:paraId="03E44C0A" w14:textId="77777777" w:rsidR="00AD26BA" w:rsidRDefault="009577A4">
      <w:pPr>
        <w:ind w:left="-15" w:right="-6"/>
      </w:pPr>
      <w:r>
        <w:rPr>
          <w:b/>
          <w:sz w:val="28"/>
        </w:rPr>
        <w:t>Chapter summary</w:t>
      </w:r>
      <w:r>
        <w:rPr>
          <w:sz w:val="28"/>
        </w:rPr>
        <w:t>:</w:t>
      </w:r>
      <w:r>
        <w:t xml:space="preserve"> A public body may not meet in closed session unless it has designated at least one member to take training in the requirements of the Act. § 3-213(d). The Act imposes five additional conditions on a public body’s exercise of its discretion to close a meeting to discuss one of the topics listed in § 3-305. The first three conditions must be met in the </w:t>
      </w:r>
      <w:proofErr w:type="gramStart"/>
      <w:r>
        <w:t>properly-noticed</w:t>
      </w:r>
      <w:proofErr w:type="gramEnd"/>
      <w:r>
        <w:t xml:space="preserve"> open session that must be held just before the meeting is closed; the fourth applies during the closed session, and the fifth applies afterwards. (For notice and agenda provisions relevant to closed sessions, see Chapter 2). The five conditions are: </w:t>
      </w:r>
    </w:p>
    <w:p w14:paraId="6845C644" w14:textId="77777777" w:rsidR="00AD26BA" w:rsidRDefault="009577A4">
      <w:pPr>
        <w:spacing w:after="0" w:line="259" w:lineRule="auto"/>
        <w:ind w:left="720" w:right="0" w:firstLine="0"/>
        <w:jc w:val="left"/>
      </w:pPr>
      <w:r>
        <w:t xml:space="preserve"> </w:t>
      </w:r>
    </w:p>
    <w:p w14:paraId="57D4061A" w14:textId="77777777" w:rsidR="00AD26BA" w:rsidRDefault="009577A4">
      <w:pPr>
        <w:ind w:left="-15" w:right="-6"/>
      </w:pPr>
      <w:r>
        <w:rPr>
          <w:b/>
          <w:i/>
        </w:rPr>
        <w:t>First</w:t>
      </w:r>
      <w:r>
        <w:t xml:space="preserve">, the members must convene in a </w:t>
      </w:r>
      <w:proofErr w:type="gramStart"/>
      <w:r>
        <w:t>properly-noticed</w:t>
      </w:r>
      <w:proofErr w:type="gramEnd"/>
      <w:r>
        <w:t xml:space="preserve"> open session, and it must be attended by a member designated to take the training. § 3-213(d)(3)(</w:t>
      </w:r>
      <w:proofErr w:type="spellStart"/>
      <w:r>
        <w:t>i</w:t>
      </w:r>
      <w:proofErr w:type="spellEnd"/>
      <w:r>
        <w:t xml:space="preserve">). If a designated member cannot attend, the public body must complete the “Compliance Checklist” posted on the open meetings page of the Attorney General’s </w:t>
      </w:r>
      <w:proofErr w:type="gramStart"/>
      <w:r>
        <w:t>website, and</w:t>
      </w:r>
      <w:proofErr w:type="gramEnd"/>
      <w:r>
        <w:t xml:space="preserve"> include the completed checklist in the minutes of the open session. § 3-213(d)(3)(ii).  </w:t>
      </w:r>
    </w:p>
    <w:p w14:paraId="7BFB06C2" w14:textId="77777777" w:rsidR="00AD26BA" w:rsidRDefault="009577A4">
      <w:pPr>
        <w:spacing w:after="7" w:line="259" w:lineRule="auto"/>
        <w:ind w:left="720" w:right="0" w:firstLine="0"/>
        <w:jc w:val="left"/>
      </w:pPr>
      <w:r>
        <w:t xml:space="preserve"> </w:t>
      </w:r>
    </w:p>
    <w:p w14:paraId="683F2F38" w14:textId="77777777" w:rsidR="00AD26BA" w:rsidRDefault="009577A4">
      <w:pPr>
        <w:ind w:left="-15" w:right="-6"/>
      </w:pPr>
      <w:r>
        <w:rPr>
          <w:b/>
          <w:i/>
        </w:rPr>
        <w:t>Second</w:t>
      </w:r>
      <w:r>
        <w:t xml:space="preserve">, in the open session, the presiding officer must “make a written statement of the reason for closing the meeting.” § 3-305(d). In that statement, often called a “closing statement,” the presiding officer must additionally disclose the “topics to be discussed” and the statutory exception relied upon as authority for closing the meeting.  </w:t>
      </w:r>
    </w:p>
    <w:p w14:paraId="5B03632A" w14:textId="77777777" w:rsidR="00AD26BA" w:rsidRDefault="009577A4">
      <w:pPr>
        <w:spacing w:after="0" w:line="259" w:lineRule="auto"/>
        <w:ind w:left="720" w:right="0" w:firstLine="0"/>
        <w:jc w:val="left"/>
      </w:pPr>
      <w:r>
        <w:t xml:space="preserve"> </w:t>
      </w:r>
    </w:p>
    <w:p w14:paraId="2C002AB6" w14:textId="77777777" w:rsidR="00AD26BA" w:rsidRDefault="009577A4">
      <w:pPr>
        <w:ind w:left="-15" w:right="-6"/>
      </w:pPr>
      <w:r>
        <w:rPr>
          <w:b/>
          <w:i/>
        </w:rPr>
        <w:t>Third</w:t>
      </w:r>
      <w:r>
        <w:t xml:space="preserve">, the presiding officer must conduct a recorded vote—a vote for which each member’s vote is specified—on a motion to close the meeting to the public. § 3-305(d)(1). A member of the public may note an objection to the closing. § 3-305(d)(3). </w:t>
      </w:r>
    </w:p>
    <w:p w14:paraId="1D73438A" w14:textId="77777777" w:rsidR="00AD26BA" w:rsidRDefault="009577A4">
      <w:pPr>
        <w:spacing w:after="0" w:line="259" w:lineRule="auto"/>
        <w:ind w:right="0" w:firstLine="0"/>
        <w:jc w:val="left"/>
      </w:pPr>
      <w:r>
        <w:t xml:space="preserve"> </w:t>
      </w:r>
    </w:p>
    <w:p w14:paraId="69F2BA2E" w14:textId="77777777" w:rsidR="00AD26BA" w:rsidRDefault="009577A4">
      <w:pPr>
        <w:ind w:left="-15" w:right="-6"/>
      </w:pPr>
      <w:r>
        <w:rPr>
          <w:b/>
          <w:i/>
        </w:rPr>
        <w:t>Fourth</w:t>
      </w:r>
      <w:r>
        <w:t xml:space="preserve">, </w:t>
      </w:r>
      <w:r>
        <w:rPr>
          <w:i/>
        </w:rPr>
        <w:t>during</w:t>
      </w:r>
      <w:r>
        <w:t xml:space="preserve"> the closed session, the members of the public body must confine their discussion to the topics and the scope of the exception disclosed on the closing statement. </w:t>
      </w:r>
      <w:r>
        <w:rPr>
          <w:i/>
        </w:rPr>
        <w:t>See</w:t>
      </w:r>
      <w:r>
        <w:t xml:space="preserve"> § 3-305(b), (c); </w:t>
      </w:r>
      <w:r>
        <w:rPr>
          <w:i/>
        </w:rPr>
        <w:t>see also</w:t>
      </w:r>
      <w:r>
        <w:t xml:space="preserve"> Chapter 4, Chapter Summary. In effect, the presiding officer’s closing statement sets the agenda for the closed session, such that, during the closed session, members of the public body may not bring up “new business.” </w:t>
      </w:r>
      <w:r>
        <w:rPr>
          <w:i/>
        </w:rPr>
        <w:t>See, e.g</w:t>
      </w:r>
      <w:r>
        <w:t xml:space="preserve">., 9 </w:t>
      </w:r>
      <w:r>
        <w:rPr>
          <w:i/>
        </w:rPr>
        <w:t>OMCB Opinions</w:t>
      </w:r>
      <w:r>
        <w:t xml:space="preserve"> 46, 50 (2013) (rejecting the public body’s argument that it was not required to specify the topics to be discussed on its closing statement because, at the time of the vote, the members did not yet know what topics might come up in the closed session). </w:t>
      </w:r>
    </w:p>
    <w:p w14:paraId="1FDD67A1" w14:textId="77777777" w:rsidR="00AD26BA" w:rsidRDefault="009577A4">
      <w:pPr>
        <w:spacing w:after="0" w:line="259" w:lineRule="auto"/>
        <w:ind w:right="0" w:firstLine="0"/>
        <w:jc w:val="left"/>
      </w:pPr>
      <w:r>
        <w:t xml:space="preserve"> </w:t>
      </w:r>
    </w:p>
    <w:p w14:paraId="0BDD5B11" w14:textId="77777777" w:rsidR="00AD26BA" w:rsidRDefault="009577A4">
      <w:pPr>
        <w:ind w:left="-15" w:right="-6"/>
      </w:pPr>
      <w:r>
        <w:rPr>
          <w:b/>
          <w:i/>
        </w:rPr>
        <w:t>Fifth</w:t>
      </w:r>
      <w:r>
        <w:t xml:space="preserve">, </w:t>
      </w:r>
      <w:r>
        <w:rPr>
          <w:i/>
        </w:rPr>
        <w:t>after</w:t>
      </w:r>
      <w:r>
        <w:t xml:space="preserve"> the closed session, the public body must disclose, in the minutes of the next open session, information that discloses what topics were </w:t>
      </w:r>
      <w:proofErr w:type="gramStart"/>
      <w:r>
        <w:t>actually discussed</w:t>
      </w:r>
      <w:proofErr w:type="gramEnd"/>
      <w:r>
        <w:t xml:space="preserve">, who attended the closed session, and what actions the public body took. </w:t>
      </w:r>
      <w:r>
        <w:rPr>
          <w:i/>
        </w:rPr>
        <w:t xml:space="preserve">See </w:t>
      </w:r>
      <w:r>
        <w:t xml:space="preserve">§ 3-306(c)(2). Disclosure requirements also apply to sessions closed for the performance of an administrative function. § 3-104. If a member designated for training could not attend the initial open meeting, the public body must also include in the minutes the compliance checklist that it completed before closing the meeting. § 3-213(d)(3)(ii). </w:t>
      </w:r>
    </w:p>
    <w:p w14:paraId="45FB4AE8" w14:textId="77777777" w:rsidR="00AD26BA" w:rsidRDefault="009577A4">
      <w:pPr>
        <w:spacing w:after="0" w:line="259" w:lineRule="auto"/>
        <w:ind w:right="0" w:firstLine="0"/>
        <w:jc w:val="left"/>
      </w:pPr>
      <w:r>
        <w:t xml:space="preserve"> </w:t>
      </w:r>
    </w:p>
    <w:p w14:paraId="547574CE" w14:textId="77777777" w:rsidR="00AD26BA" w:rsidRDefault="009577A4">
      <w:pPr>
        <w:ind w:left="-15" w:right="-6"/>
      </w:pPr>
      <w:r>
        <w:t xml:space="preserve">To figure out whether a public body complied with the disclosure requirements, a person should inspect the open-session minutes for the session that was closed and for the next open session, as well as the closing statement.  </w:t>
      </w:r>
    </w:p>
    <w:p w14:paraId="390EEA76" w14:textId="77777777" w:rsidR="00AD26BA" w:rsidRDefault="009577A4">
      <w:pPr>
        <w:spacing w:after="0" w:line="259" w:lineRule="auto"/>
        <w:ind w:right="0" w:firstLine="0"/>
        <w:jc w:val="left"/>
      </w:pPr>
      <w:r>
        <w:t xml:space="preserve"> </w:t>
      </w:r>
    </w:p>
    <w:p w14:paraId="0C4592BA" w14:textId="77777777" w:rsidR="00AD26BA" w:rsidRDefault="009577A4">
      <w:pPr>
        <w:pStyle w:val="Heading1"/>
        <w:numPr>
          <w:ilvl w:val="0"/>
          <w:numId w:val="0"/>
        </w:numPr>
        <w:tabs>
          <w:tab w:val="center" w:pos="4306"/>
        </w:tabs>
        <w:ind w:left="-15"/>
      </w:pPr>
      <w:r>
        <w:rPr>
          <w:sz w:val="26"/>
        </w:rPr>
        <w:t>A.</w:t>
      </w:r>
      <w:r>
        <w:rPr>
          <w:rFonts w:ascii="Arial" w:eastAsia="Arial" w:hAnsi="Arial" w:cs="Arial"/>
          <w:sz w:val="26"/>
        </w:rPr>
        <w:t xml:space="preserve"> </w:t>
      </w:r>
      <w:r>
        <w:rPr>
          <w:rFonts w:ascii="Arial" w:eastAsia="Arial" w:hAnsi="Arial" w:cs="Arial"/>
          <w:sz w:val="26"/>
        </w:rPr>
        <w:tab/>
      </w:r>
      <w:r>
        <w:t>Before the closed session: closing statement and recorded vote</w:t>
      </w:r>
      <w:r>
        <w:rPr>
          <w:b w:val="0"/>
          <w:i w:val="0"/>
          <w:sz w:val="26"/>
        </w:rPr>
        <w:t xml:space="preserve"> </w:t>
      </w:r>
    </w:p>
    <w:p w14:paraId="641AA596" w14:textId="77777777" w:rsidR="00AD26BA" w:rsidRDefault="009577A4">
      <w:pPr>
        <w:spacing w:after="0" w:line="259" w:lineRule="auto"/>
        <w:ind w:left="720" w:right="0" w:firstLine="0"/>
        <w:jc w:val="left"/>
      </w:pPr>
      <w:r>
        <w:t xml:space="preserve"> </w:t>
      </w:r>
    </w:p>
    <w:p w14:paraId="6D4F5849" w14:textId="77777777" w:rsidR="00AD26BA" w:rsidRDefault="009577A4">
      <w:pPr>
        <w:ind w:left="-15" w:right="-6"/>
      </w:pPr>
      <w:r>
        <w:t xml:space="preserve">The closing statement must contain three items of information: the “topics to be discussed” in the closed session, a citation to the exception applicable to each topic, and “the reason for closing the meeting.” § 3-305(d). Once adopted by the members’ recorded vote, the closing statement is the public body’s representation to the public that the closed session will comport with the Act.  In fact, members of the public are entitled to a copy of the closing statement when the meeting is closed. </w:t>
      </w:r>
      <w:r>
        <w:rPr>
          <w:i/>
        </w:rPr>
        <w:t>See</w:t>
      </w:r>
      <w:r>
        <w:t xml:space="preserve"> 7 </w:t>
      </w:r>
      <w:r>
        <w:rPr>
          <w:i/>
        </w:rPr>
        <w:t>OMCB Opinions</w:t>
      </w:r>
      <w:r>
        <w:t xml:space="preserve"> 5, 6 (2010) </w:t>
      </w:r>
    </w:p>
    <w:p w14:paraId="17FADED6" w14:textId="77777777" w:rsidR="00AD26BA" w:rsidRDefault="009577A4">
      <w:pPr>
        <w:ind w:left="-15" w:right="-6" w:firstLine="0"/>
      </w:pPr>
      <w:r>
        <w:t xml:space="preserve">(“[T]he statement is a matter of public record that must be available at the time a public body concludes its public session immediately before the start of the closed meeting.”). Further, if a member of the public objects to the closing, the public body must send a copy of the closing statement to the Compliance Board. § 3-305(d)(3). </w:t>
      </w:r>
    </w:p>
    <w:p w14:paraId="0E436407" w14:textId="77777777" w:rsidR="00AD26BA" w:rsidRDefault="009577A4">
      <w:pPr>
        <w:spacing w:after="0" w:line="259" w:lineRule="auto"/>
        <w:ind w:right="0" w:firstLine="0"/>
        <w:jc w:val="left"/>
      </w:pPr>
      <w:r>
        <w:t xml:space="preserve"> </w:t>
      </w:r>
    </w:p>
    <w:p w14:paraId="4A61216E" w14:textId="77777777" w:rsidR="00AD26BA" w:rsidRDefault="009577A4">
      <w:pPr>
        <w:ind w:left="-15" w:right="-6"/>
      </w:pPr>
      <w:r>
        <w:t xml:space="preserve">The Compliance Board has explained the purposes to be served by closing statements:  </w:t>
      </w:r>
    </w:p>
    <w:p w14:paraId="0B4C5E58" w14:textId="77777777" w:rsidR="00AD26BA" w:rsidRDefault="009577A4">
      <w:pPr>
        <w:spacing w:after="0" w:line="259" w:lineRule="auto"/>
        <w:ind w:right="0" w:firstLine="0"/>
        <w:jc w:val="left"/>
      </w:pPr>
      <w:r>
        <w:t xml:space="preserve"> </w:t>
      </w:r>
    </w:p>
    <w:p w14:paraId="0BCC003B" w14:textId="77777777" w:rsidR="00AD26BA" w:rsidRDefault="009577A4">
      <w:pPr>
        <w:ind w:left="720" w:right="721" w:firstLine="0"/>
      </w:pPr>
      <w:r>
        <w:t xml:space="preserve">As might be inferred from the fact that the General Assembly assigned to the presiding officer the duty to make the written statement, the performance of that duty is not a mere formality. A </w:t>
      </w:r>
      <w:proofErr w:type="gramStart"/>
      <w:r>
        <w:t>properly-completed</w:t>
      </w:r>
      <w:proofErr w:type="gramEnd"/>
      <w:r>
        <w:t xml:space="preserve"> written statement serves to prompt each member of the public body, before voting, to consider whether the reason is sufficient to depart from the Act’s norm of openness. It helps members of the public who will be barred from the closed session to understand that this exception to the principle of openness is well-grounded. It serves as an accountability tool, because it enables the public to compare the pre-meeting disclosures with the minutes summarizing the actual conduct of the meeting and thereby to assess whether the discussion stayed within the exceptions that the public body had claimed. And, </w:t>
      </w:r>
      <w:proofErr w:type="gramStart"/>
      <w:r>
        <w:t>in the event that</w:t>
      </w:r>
      <w:proofErr w:type="gramEnd"/>
      <w:r>
        <w:t xml:space="preserve"> a complaint is filed, it tells us that the members of the public body considered the legality of closing the meeting and gives us their reason at the time for doing so. An after-the-fact justification for closing a meeting is not a good substitute for that information. </w:t>
      </w:r>
    </w:p>
    <w:p w14:paraId="2C319BFF" w14:textId="77777777" w:rsidR="00AD26BA" w:rsidRDefault="009577A4">
      <w:pPr>
        <w:spacing w:after="0" w:line="259" w:lineRule="auto"/>
        <w:ind w:right="0" w:firstLine="0"/>
        <w:jc w:val="left"/>
      </w:pPr>
      <w:r>
        <w:t xml:space="preserve"> </w:t>
      </w:r>
    </w:p>
    <w:p w14:paraId="063A40D5" w14:textId="77777777" w:rsidR="00AD26BA" w:rsidRDefault="009577A4">
      <w:pPr>
        <w:ind w:left="-15" w:right="-6" w:firstLine="0"/>
      </w:pPr>
      <w:r>
        <w:t xml:space="preserve">9 </w:t>
      </w:r>
      <w:r>
        <w:rPr>
          <w:i/>
        </w:rPr>
        <w:t xml:space="preserve">OMCB Opinions </w:t>
      </w:r>
      <w:r>
        <w:t xml:space="preserve">15, 22-23 (2013) (citing and quoting 4 </w:t>
      </w:r>
      <w:r>
        <w:rPr>
          <w:i/>
        </w:rPr>
        <w:t>OMCB Opinions</w:t>
      </w:r>
      <w:r>
        <w:t xml:space="preserve"> 46, 48 (2004) </w:t>
      </w:r>
    </w:p>
    <w:p w14:paraId="03D5F1E4" w14:textId="77777777" w:rsidR="00AD26BA" w:rsidRDefault="009577A4">
      <w:pPr>
        <w:ind w:left="-15" w:right="-6" w:firstLine="0"/>
      </w:pPr>
      <w:r>
        <w:t xml:space="preserve">(quotation marks omitted)). </w:t>
      </w:r>
      <w:r>
        <w:rPr>
          <w:i/>
        </w:rPr>
        <w:t>See also</w:t>
      </w:r>
      <w:r>
        <w:t xml:space="preserve"> 8 </w:t>
      </w:r>
      <w:r>
        <w:rPr>
          <w:i/>
        </w:rPr>
        <w:t>OMCB Opinions</w:t>
      </w:r>
      <w:r>
        <w:t xml:space="preserve"> 166, 168 (2013) (“[T]he public body’s objective should be to treat each decision to exclude the public as a substantive decision for which each member of the public body is accountable and to demonstrate that fact to the public in the ways required by the Act.”). </w:t>
      </w:r>
    </w:p>
    <w:p w14:paraId="41AD6862" w14:textId="77777777" w:rsidR="00AD26BA" w:rsidRDefault="009577A4">
      <w:pPr>
        <w:spacing w:after="0" w:line="259" w:lineRule="auto"/>
        <w:ind w:right="0" w:firstLine="0"/>
        <w:jc w:val="left"/>
      </w:pPr>
      <w:r>
        <w:t xml:space="preserve"> </w:t>
      </w:r>
    </w:p>
    <w:p w14:paraId="348A460D" w14:textId="77777777" w:rsidR="00AD26BA" w:rsidRDefault="009577A4">
      <w:pPr>
        <w:ind w:left="-15" w:right="-6"/>
      </w:pPr>
      <w:r>
        <w:t>Closing statements that merely parrot the words of the statutory exception rarely convey enough detail about the topics to be discussed and the reason for excluding the public. Particularly, the text of the claimed exception does not tell the public why the closed session was necessary; after all, the exceptions allow, but do not require a public body to close a meeting.</w:t>
      </w:r>
      <w:r>
        <w:rPr>
          <w:vertAlign w:val="superscript"/>
        </w:rPr>
        <w:footnoteReference w:id="1"/>
      </w:r>
      <w:r>
        <w:t xml:space="preserve"> For example, a closing statement that merely states the words of the business relocation exception, which allows the public body to exclude the public from its discussion of a proposal for a business to locate in the public body’s jurisdiction, does not tell the public anything about why the discussion has to be secret, especially if the identity of the business has already been made public. </w:t>
      </w:r>
      <w:r>
        <w:rPr>
          <w:i/>
        </w:rPr>
        <w:t>See, e.g</w:t>
      </w:r>
      <w:r>
        <w:t xml:space="preserve">., 9 </w:t>
      </w:r>
      <w:r>
        <w:rPr>
          <w:i/>
        </w:rPr>
        <w:t>OMCB Opinions</w:t>
      </w:r>
      <w:r>
        <w:t xml:space="preserve"> 46, 50 (2013).   </w:t>
      </w:r>
    </w:p>
    <w:p w14:paraId="37AE4162" w14:textId="77777777" w:rsidR="00AD26BA" w:rsidRDefault="009577A4">
      <w:pPr>
        <w:spacing w:after="0" w:line="259" w:lineRule="auto"/>
        <w:ind w:right="0" w:firstLine="0"/>
        <w:jc w:val="left"/>
      </w:pPr>
      <w:r>
        <w:t xml:space="preserve"> </w:t>
      </w:r>
    </w:p>
    <w:p w14:paraId="330F0C38" w14:textId="77777777" w:rsidR="00AD26BA" w:rsidRDefault="009577A4">
      <w:pPr>
        <w:ind w:left="-15" w:right="-6"/>
      </w:pPr>
      <w:r>
        <w:t xml:space="preserve">In most cases, a description of the topic alone also does not convey why the public body needs to exclude the public. Occasionally, though, the Compliance Board has found that a description of the topic to be discussed adequately conveyed the public body’s reason for closing a meeting, as when the public body has described the topic as discipline matters respecting individual employees. </w:t>
      </w:r>
      <w:r>
        <w:rPr>
          <w:i/>
        </w:rPr>
        <w:t>See, e.g</w:t>
      </w:r>
      <w:r>
        <w:t xml:space="preserve">., 4 </w:t>
      </w:r>
      <w:r>
        <w:rPr>
          <w:i/>
        </w:rPr>
        <w:t>OMCB Opinions</w:t>
      </w:r>
      <w:r>
        <w:t xml:space="preserve"> 188, 196 (2005). The better practice is to state the citation, topic, and reason for closing as separate pieces of information; that way, the public is not left to speculate on why it has been excluded. </w:t>
      </w:r>
    </w:p>
    <w:p w14:paraId="63547BFC" w14:textId="77777777" w:rsidR="00AD26BA" w:rsidRDefault="009577A4">
      <w:pPr>
        <w:spacing w:after="5" w:line="259" w:lineRule="auto"/>
        <w:ind w:left="720" w:right="0" w:firstLine="0"/>
        <w:jc w:val="left"/>
      </w:pPr>
      <w:r>
        <w:t xml:space="preserve"> </w:t>
      </w:r>
    </w:p>
    <w:p w14:paraId="3B2562DD" w14:textId="77777777" w:rsidR="00AD26BA" w:rsidRDefault="009577A4">
      <w:pPr>
        <w:spacing w:after="254"/>
        <w:ind w:left="-15" w:right="-6"/>
      </w:pPr>
      <w:r>
        <w:t xml:space="preserve">The recorded vote serves to reflect each member’s decision as to the public body’s exercise of its discretion to close the meeting on the basis stated in the closing statement. </w:t>
      </w:r>
      <w:r>
        <w:rPr>
          <w:i/>
        </w:rPr>
        <w:t>Cf.</w:t>
      </w:r>
      <w:r>
        <w:t xml:space="preserve"> 14 </w:t>
      </w:r>
      <w:r>
        <w:rPr>
          <w:i/>
        </w:rPr>
        <w:t>OMCB Opinions</w:t>
      </w:r>
      <w:r>
        <w:t xml:space="preserve"> 49, 58 (2020) (noting that the “members themselves were accountable for the action they took to exclude the public from those discussions”). The </w:t>
      </w:r>
    </w:p>
    <w:p w14:paraId="244E9CD7" w14:textId="77777777" w:rsidR="00AD26BA" w:rsidRDefault="009577A4">
      <w:pPr>
        <w:spacing w:after="0" w:line="259" w:lineRule="auto"/>
        <w:ind w:right="0" w:firstLine="0"/>
        <w:jc w:val="left"/>
      </w:pPr>
      <w:r>
        <w:rPr>
          <w:rFonts w:ascii="Calibri" w:eastAsia="Calibri" w:hAnsi="Calibri" w:cs="Calibri"/>
          <w:noProof/>
          <w:sz w:val="22"/>
        </w:rPr>
        <mc:AlternateContent>
          <mc:Choice Requires="wpg">
            <w:drawing>
              <wp:inline distT="0" distB="0" distL="0" distR="0" wp14:anchorId="49871031" wp14:editId="5D84F414">
                <wp:extent cx="1829054" cy="7621"/>
                <wp:effectExtent l="0" t="0" r="0" b="0"/>
                <wp:docPr id="7148" name="Group 7148"/>
                <wp:cNvGraphicFramePr/>
                <a:graphic xmlns:a="http://schemas.openxmlformats.org/drawingml/2006/main">
                  <a:graphicData uri="http://schemas.microsoft.com/office/word/2010/wordprocessingGroup">
                    <wpg:wgp>
                      <wpg:cNvGrpSpPr/>
                      <wpg:grpSpPr>
                        <a:xfrm>
                          <a:off x="0" y="0"/>
                          <a:ext cx="1829054" cy="7621"/>
                          <a:chOff x="0" y="0"/>
                          <a:chExt cx="1829054" cy="7621"/>
                        </a:xfrm>
                      </wpg:grpSpPr>
                      <wps:wsp>
                        <wps:cNvPr id="7706" name="Shape 7706"/>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872FB9" id="Group 7148" o:spid="_x0000_s1026" style="width:2in;height:.6pt;mso-position-horizontal-relative:char;mso-position-vertical-relative:line" coordsize="1829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">
                <v:shape id="Shape 7706" o:spid="_x0000_s1027" style="position:absolute;width:18290;height:91;visibility:visible;mso-wrap-style:square;v-text-anchor:top" coordsize="18290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" path="m,l1829054,r,9144l,9144,,e" fillcolor="black" stroked="f" strokeweight="0">
                  <v:stroke miterlimit="83231f" joinstyle="miter"/>
                  <v:path arrowok="t" textboxrect="0,0,1829054,9144"/>
                </v:shape>
                <w10:anchorlock/>
              </v:group>
            </w:pict>
          </mc:Fallback>
        </mc:AlternateContent>
      </w:r>
      <w:r>
        <w:t xml:space="preserve"> </w:t>
      </w:r>
    </w:p>
    <w:p w14:paraId="76E3B4CD" w14:textId="77777777" w:rsidR="00AD26BA" w:rsidRDefault="009577A4">
      <w:pPr>
        <w:ind w:left="-15" w:right="-6" w:firstLine="0"/>
      </w:pPr>
      <w:r>
        <w:t xml:space="preserve">presiding officer should therefore conduct the vote after the closing statement has been read aloud to the members, or at least summarized well enough to convey to them what they are voting on. </w:t>
      </w:r>
      <w:r>
        <w:rPr>
          <w:i/>
        </w:rPr>
        <w:t>See</w:t>
      </w:r>
      <w:r>
        <w:t xml:space="preserve"> 9 </w:t>
      </w:r>
      <w:r>
        <w:rPr>
          <w:i/>
        </w:rPr>
        <w:t>OMCB Opinions</w:t>
      </w:r>
      <w:r>
        <w:t xml:space="preserve"> 46, 49 (2013) (“[T]he written statement of the topics to be discussed and reasons for closing allows the members to cast an informed vote on whether the claimed reason is sufficient to depart from the Act’s norm of openness— that is whether it ‘really is necessary’ to exclude the public.”). </w:t>
      </w:r>
    </w:p>
    <w:p w14:paraId="189C0E5E" w14:textId="77777777" w:rsidR="00AD26BA" w:rsidRDefault="009577A4">
      <w:pPr>
        <w:spacing w:after="0" w:line="259" w:lineRule="auto"/>
        <w:ind w:left="720" w:right="0" w:firstLine="0"/>
        <w:jc w:val="left"/>
      </w:pPr>
      <w:r>
        <w:t xml:space="preserve"> </w:t>
      </w:r>
    </w:p>
    <w:p w14:paraId="35DFE339" w14:textId="77777777" w:rsidR="00AD26BA" w:rsidRDefault="009577A4">
      <w:pPr>
        <w:spacing w:after="0" w:line="259" w:lineRule="auto"/>
        <w:ind w:right="0" w:firstLine="0"/>
        <w:jc w:val="left"/>
      </w:pPr>
      <w:r>
        <w:rPr>
          <w:i/>
        </w:rPr>
        <w:t>Practice notes on avoiding closing statement violations</w:t>
      </w:r>
      <w:r>
        <w:t xml:space="preserve">:  </w:t>
      </w:r>
    </w:p>
    <w:p w14:paraId="691CC896" w14:textId="77777777" w:rsidR="00AD26BA" w:rsidRDefault="009577A4">
      <w:pPr>
        <w:spacing w:after="0" w:line="259" w:lineRule="auto"/>
        <w:ind w:right="0" w:firstLine="0"/>
        <w:jc w:val="left"/>
      </w:pPr>
      <w:r>
        <w:t xml:space="preserve"> </w:t>
      </w:r>
    </w:p>
    <w:p w14:paraId="10481C41" w14:textId="77777777" w:rsidR="00AD26BA" w:rsidRDefault="009577A4">
      <w:pPr>
        <w:numPr>
          <w:ilvl w:val="0"/>
          <w:numId w:val="1"/>
        </w:numPr>
        <w:ind w:right="1082" w:hanging="360"/>
      </w:pPr>
      <w:r>
        <w:t xml:space="preserve">A closing statement must be prepared, and a recorded vote to close must be </w:t>
      </w:r>
      <w:proofErr w:type="gramStart"/>
      <w:r>
        <w:t xml:space="preserve">conducted, </w:t>
      </w:r>
      <w:r>
        <w:rPr>
          <w:i/>
        </w:rPr>
        <w:t>before</w:t>
      </w:r>
      <w:proofErr w:type="gramEnd"/>
      <w:r>
        <w:t xml:space="preserve"> the public body closes the meeting. That means that the public must be given notice of an open meeting. Thus, even when the only public portion of a meeting will be the motion and vote to close, the meeting notice must invite the public to that portion of the meeting. § 3-202(b)(3); </w:t>
      </w:r>
      <w:r>
        <w:rPr>
          <w:i/>
        </w:rPr>
        <w:t>see also</w:t>
      </w:r>
      <w:r>
        <w:t xml:space="preserve"> 8 </w:t>
      </w:r>
      <w:r>
        <w:rPr>
          <w:i/>
        </w:rPr>
        <w:t>OMCB Opinions</w:t>
      </w:r>
      <w:r>
        <w:t xml:space="preserve"> 150, 158 (2013) (suggesting wording for notices of such meetings). </w:t>
      </w:r>
    </w:p>
    <w:p w14:paraId="3970A375" w14:textId="77777777" w:rsidR="00AD26BA" w:rsidRDefault="009577A4">
      <w:pPr>
        <w:spacing w:after="0" w:line="259" w:lineRule="auto"/>
        <w:ind w:left="1080" w:right="0" w:firstLine="0"/>
        <w:jc w:val="left"/>
      </w:pPr>
      <w:r>
        <w:t xml:space="preserve"> </w:t>
      </w:r>
    </w:p>
    <w:p w14:paraId="313BA209" w14:textId="77777777" w:rsidR="00AD26BA" w:rsidRDefault="009577A4">
      <w:pPr>
        <w:numPr>
          <w:ilvl w:val="0"/>
          <w:numId w:val="1"/>
        </w:numPr>
        <w:ind w:right="1082" w:hanging="360"/>
      </w:pPr>
      <w:r>
        <w:t xml:space="preserve">Model closing statement forms, one with instructions for the presiding officer and one without, as well as a sample form, can be found at  </w:t>
      </w:r>
      <w:hyperlink r:id="rId7">
        <w:r>
          <w:rPr>
            <w:color w:val="0563C1"/>
            <w:u w:val="single" w:color="0563C1"/>
          </w:rPr>
          <w:t xml:space="preserve">https://www.marylandattorneygeneral.gov/Pages/OpenGov/Openme </w:t>
        </w:r>
      </w:hyperlink>
      <w:hyperlink r:id="rId8">
        <w:proofErr w:type="spellStart"/>
        <w:r>
          <w:rPr>
            <w:color w:val="0563C1"/>
            <w:u w:val="single" w:color="0563C1"/>
          </w:rPr>
          <w:t>etings</w:t>
        </w:r>
        <w:proofErr w:type="spellEnd"/>
        <w:r>
          <w:rPr>
            <w:color w:val="0563C1"/>
            <w:u w:val="single" w:color="0563C1"/>
          </w:rPr>
          <w:t>/default.aspx</w:t>
        </w:r>
      </w:hyperlink>
      <w:hyperlink r:id="rId9">
        <w:r>
          <w:t>,</w:t>
        </w:r>
      </w:hyperlink>
      <w:r>
        <w:t xml:space="preserve"> under “Sample Forms and Checklists.” Public bodies are not required to use the forms, but they prompt the presiding officer to provide </w:t>
      </w:r>
      <w:proofErr w:type="gramStart"/>
      <w:r>
        <w:t>all of</w:t>
      </w:r>
      <w:proofErr w:type="gramEnd"/>
      <w:r>
        <w:t xml:space="preserve"> the required information. 8 </w:t>
      </w:r>
      <w:r>
        <w:rPr>
          <w:i/>
        </w:rPr>
        <w:t>OMCB Opinions</w:t>
      </w:r>
      <w:r>
        <w:t xml:space="preserve"> 166, 168 (2013).  </w:t>
      </w:r>
    </w:p>
    <w:p w14:paraId="57C407A3" w14:textId="77777777" w:rsidR="00AD26BA" w:rsidRDefault="009577A4">
      <w:pPr>
        <w:spacing w:after="0" w:line="259" w:lineRule="auto"/>
        <w:ind w:right="0" w:firstLine="0"/>
        <w:jc w:val="left"/>
      </w:pPr>
      <w:r>
        <w:t xml:space="preserve"> </w:t>
      </w:r>
    </w:p>
    <w:p w14:paraId="1665E64A" w14:textId="77777777" w:rsidR="00AD26BA" w:rsidRDefault="009577A4">
      <w:pPr>
        <w:numPr>
          <w:ilvl w:val="0"/>
          <w:numId w:val="1"/>
        </w:numPr>
        <w:ind w:right="1082" w:hanging="360"/>
      </w:pPr>
      <w:r>
        <w:t xml:space="preserve">Public bodies may use a closing statement pre-prepared by staff, so long as it remains accurate when the members vote to close the meeting. 9 </w:t>
      </w:r>
      <w:r>
        <w:rPr>
          <w:i/>
        </w:rPr>
        <w:t>OMCB Opinions</w:t>
      </w:r>
      <w:r>
        <w:t xml:space="preserve"> 1, 6 (2013). To ensure accuracy—for example, that the “reason for closing” is the members’ own reason for closing—it is a good practice for the presiding officer to read the closing statement out loud, entertain a motion to adopt it, and then conduct the recorded vote, or to include the pre-prepared form in the members’ meeting packet, or both.   </w:t>
      </w:r>
    </w:p>
    <w:p w14:paraId="5E4051D7" w14:textId="77777777" w:rsidR="00AD26BA" w:rsidRDefault="009577A4">
      <w:pPr>
        <w:spacing w:after="0" w:line="259" w:lineRule="auto"/>
        <w:ind w:left="1080" w:right="0" w:firstLine="0"/>
        <w:jc w:val="left"/>
      </w:pPr>
      <w:r>
        <w:t xml:space="preserve"> </w:t>
      </w:r>
    </w:p>
    <w:p w14:paraId="64907E58" w14:textId="77777777" w:rsidR="00AD26BA" w:rsidRDefault="009577A4">
      <w:pPr>
        <w:numPr>
          <w:ilvl w:val="0"/>
          <w:numId w:val="1"/>
        </w:numPr>
        <w:ind w:right="1082" w:hanging="360"/>
      </w:pPr>
      <w:r>
        <w:t xml:space="preserve">When someone other than the presiding officer has prepared the closing statement, it is a good idea for the presiding officer to sign or initial it to show compliance with the Act’s requirement that the presiding officer “make” the statement. </w:t>
      </w:r>
      <w:r>
        <w:rPr>
          <w:i/>
        </w:rPr>
        <w:t>See</w:t>
      </w:r>
      <w:r>
        <w:t xml:space="preserve"> 8 </w:t>
      </w:r>
      <w:r>
        <w:rPr>
          <w:i/>
        </w:rPr>
        <w:t>OMCB Opinions</w:t>
      </w:r>
      <w:r>
        <w:t xml:space="preserve"> 166, </w:t>
      </w:r>
    </w:p>
    <w:p w14:paraId="164BDCA0" w14:textId="77777777" w:rsidR="00AD26BA" w:rsidRDefault="009577A4">
      <w:pPr>
        <w:ind w:left="1080" w:right="-6" w:firstLine="0"/>
      </w:pPr>
      <w:r>
        <w:t xml:space="preserve">168 (2013) (stating that although a “public body may record the presiding officer’s acknowledgment of the written statement in its minutes if it prefers,” the “better practice is to include it in the written statement, which is immediately available to the public”).  </w:t>
      </w:r>
    </w:p>
    <w:p w14:paraId="775B93C1" w14:textId="77777777" w:rsidR="00AD26BA" w:rsidRDefault="009577A4">
      <w:pPr>
        <w:spacing w:after="0" w:line="259" w:lineRule="auto"/>
        <w:ind w:right="0" w:firstLine="0"/>
        <w:jc w:val="left"/>
      </w:pPr>
      <w:r>
        <w:t xml:space="preserve"> </w:t>
      </w:r>
    </w:p>
    <w:p w14:paraId="0F4044B5" w14:textId="77777777" w:rsidR="00AD26BA" w:rsidRDefault="009577A4">
      <w:pPr>
        <w:numPr>
          <w:ilvl w:val="0"/>
          <w:numId w:val="1"/>
        </w:numPr>
        <w:ind w:right="1082" w:hanging="360"/>
      </w:pPr>
      <w:r>
        <w:t xml:space="preserve">The presiding officer should take a copy of the closing statement into the closed session as a reminder of the permissible scope of the discussion. The original, as adopted before the closed session, should be left outside with staff in case a member of the public requests a copy </w:t>
      </w:r>
      <w:proofErr w:type="gramStart"/>
      <w:r>
        <w:t>and also</w:t>
      </w:r>
      <w:proofErr w:type="gramEnd"/>
      <w:r>
        <w:t xml:space="preserve"> as a record of the disclosures made before the closed session. 8 </w:t>
      </w:r>
      <w:r>
        <w:rPr>
          <w:i/>
        </w:rPr>
        <w:t>OMCB Opinions</w:t>
      </w:r>
      <w:r>
        <w:t xml:space="preserve"> 182 (2013).  </w:t>
      </w:r>
    </w:p>
    <w:p w14:paraId="2F989551" w14:textId="77777777" w:rsidR="00AD26BA" w:rsidRDefault="009577A4">
      <w:pPr>
        <w:spacing w:after="0" w:line="259" w:lineRule="auto"/>
        <w:ind w:left="1080" w:right="0" w:firstLine="0"/>
        <w:jc w:val="left"/>
      </w:pPr>
      <w:r>
        <w:t xml:space="preserve"> </w:t>
      </w:r>
    </w:p>
    <w:p w14:paraId="0BA51BCC" w14:textId="77777777" w:rsidR="00AD26BA" w:rsidRDefault="009577A4">
      <w:pPr>
        <w:numPr>
          <w:ilvl w:val="0"/>
          <w:numId w:val="1"/>
        </w:numPr>
        <w:ind w:right="1082" w:hanging="360"/>
      </w:pPr>
      <w:r>
        <w:t xml:space="preserve">Topics should be described as fully as possible without compromising the confidentiality of the discussion.  </w:t>
      </w:r>
      <w:r>
        <w:rPr>
          <w:i/>
        </w:rPr>
        <w:t>See, e.g.,</w:t>
      </w:r>
      <w:r>
        <w:t xml:space="preserve"> 9 </w:t>
      </w:r>
      <w:r>
        <w:rPr>
          <w:i/>
        </w:rPr>
        <w:t>OMCB Opinions</w:t>
      </w:r>
      <w:r>
        <w:t xml:space="preserve"> 71, </w:t>
      </w:r>
    </w:p>
    <w:p w14:paraId="58280CA4" w14:textId="77777777" w:rsidR="00AD26BA" w:rsidRDefault="009577A4">
      <w:pPr>
        <w:ind w:left="1080" w:right="1085" w:firstLine="0"/>
      </w:pPr>
      <w:r>
        <w:t xml:space="preserve">75 (2013) (finding the description of the topics as “institutional strategic, budgetary and administrative matters” to be “so vague as to be insufficient”). </w:t>
      </w:r>
    </w:p>
    <w:p w14:paraId="1379DDE0" w14:textId="77777777" w:rsidR="00AD26BA" w:rsidRDefault="009577A4">
      <w:pPr>
        <w:spacing w:after="42" w:line="259" w:lineRule="auto"/>
        <w:ind w:right="0" w:firstLine="0"/>
        <w:jc w:val="left"/>
      </w:pPr>
      <w:r>
        <w:t xml:space="preserve"> </w:t>
      </w:r>
    </w:p>
    <w:p w14:paraId="45419C3D" w14:textId="77777777" w:rsidR="00AD26BA" w:rsidRDefault="009577A4">
      <w:pPr>
        <w:numPr>
          <w:ilvl w:val="0"/>
          <w:numId w:val="1"/>
        </w:numPr>
        <w:ind w:right="1082" w:hanging="360"/>
      </w:pPr>
      <w:r>
        <w:t xml:space="preserve">A “public body may close a meeting to discuss several topics—if each topic falls within an exception and if each is clearly traceable to the relevant statutory exception and reason for closing.” 9 </w:t>
      </w:r>
      <w:r>
        <w:rPr>
          <w:i/>
        </w:rPr>
        <w:t xml:space="preserve">OMCB Opinions </w:t>
      </w:r>
      <w:r>
        <w:t xml:space="preserve">1, 3 (2013).  </w:t>
      </w:r>
    </w:p>
    <w:p w14:paraId="01139D0A" w14:textId="77777777" w:rsidR="00AD26BA" w:rsidRDefault="009577A4">
      <w:pPr>
        <w:spacing w:after="0" w:line="259" w:lineRule="auto"/>
        <w:ind w:left="1080" w:right="0" w:firstLine="0"/>
        <w:jc w:val="left"/>
      </w:pPr>
      <w:r>
        <w:t xml:space="preserve"> </w:t>
      </w:r>
    </w:p>
    <w:p w14:paraId="687C4A0B" w14:textId="77777777" w:rsidR="00AD26BA" w:rsidRDefault="009577A4">
      <w:pPr>
        <w:numPr>
          <w:ilvl w:val="0"/>
          <w:numId w:val="1"/>
        </w:numPr>
        <w:ind w:right="1082" w:hanging="360"/>
      </w:pPr>
      <w:r>
        <w:t xml:space="preserve">Ideally, the need for a closed session will be anticipated beforehand so that the presiding officer, staff, and counsel, as appropriate, can evaluate whether the Act authorizes excluding the public from the </w:t>
      </w:r>
      <w:proofErr w:type="gramStart"/>
      <w:r>
        <w:t>particular discussion</w:t>
      </w:r>
      <w:proofErr w:type="gramEnd"/>
      <w:r>
        <w:t xml:space="preserve">. </w:t>
      </w:r>
    </w:p>
    <w:p w14:paraId="033177CB" w14:textId="77777777" w:rsidR="00AD26BA" w:rsidRDefault="009577A4">
      <w:pPr>
        <w:spacing w:after="0" w:line="259" w:lineRule="auto"/>
        <w:ind w:left="1080" w:right="0" w:firstLine="0"/>
        <w:jc w:val="left"/>
      </w:pPr>
      <w:r>
        <w:t xml:space="preserve"> </w:t>
      </w:r>
    </w:p>
    <w:p w14:paraId="1BCD65FD" w14:textId="77777777" w:rsidR="00AD26BA" w:rsidRDefault="009577A4">
      <w:pPr>
        <w:numPr>
          <w:ilvl w:val="0"/>
          <w:numId w:val="1"/>
        </w:numPr>
        <w:ind w:right="1082" w:hanging="360"/>
      </w:pPr>
      <w:r>
        <w:t xml:space="preserve">When a member calls for a closed session during the open session, and the presiding officer does not know what the discussion will entail or whether an exception applies, the presiding officer must gather the information necessary to prepare a proper closing statement and to ensure that the other members know why they are voting to close the meeting. One way to achieve those goals is to briefly recess the meeting to confer separately with the member who wants to close the meeting and </w:t>
      </w:r>
      <w:proofErr w:type="gramStart"/>
      <w:r>
        <w:t>counsel, if</w:t>
      </w:r>
      <w:proofErr w:type="gramEnd"/>
      <w:r>
        <w:t xml:space="preserve"> counsel can be reached. If counsel is present, another way is to entertain a motion to close the meeting to receive legal advice under § 3-305(b)(7), consult with counsel on whether the session may be closed, and then reconvene in open session to present a written statement and conduct a vote on whether to close. </w:t>
      </w:r>
      <w:r>
        <w:rPr>
          <w:i/>
        </w:rPr>
        <w:t>See</w:t>
      </w:r>
      <w:r>
        <w:t xml:space="preserve"> 9 </w:t>
      </w:r>
      <w:r>
        <w:rPr>
          <w:i/>
        </w:rPr>
        <w:t>OMCB Opinions</w:t>
      </w:r>
      <w:r>
        <w:t xml:space="preserve"> 46, 51 (2013) (“The Act neither requires nor permits members of a public body to vote to exclude the public from a meeting without information on the merits of that action.”). </w:t>
      </w:r>
    </w:p>
    <w:p w14:paraId="31CE5A14" w14:textId="77777777" w:rsidR="00AD26BA" w:rsidRDefault="009577A4">
      <w:pPr>
        <w:spacing w:after="0" w:line="259" w:lineRule="auto"/>
        <w:ind w:left="720" w:right="0" w:firstLine="0"/>
        <w:jc w:val="left"/>
      </w:pPr>
      <w:r>
        <w:t xml:space="preserve"> </w:t>
      </w:r>
    </w:p>
    <w:sectPr w:rsidR="00AD26BA">
      <w:headerReference w:type="even" r:id="rId10"/>
      <w:headerReference w:type="default" r:id="rId11"/>
      <w:headerReference w:type="first" r:id="rId12"/>
      <w:footnotePr>
        <w:numRestart w:val="eachPage"/>
      </w:footnotePr>
      <w:pgSz w:w="12240" w:h="15840"/>
      <w:pgMar w:top="1752" w:right="1438" w:bottom="143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07BA4" w14:textId="77777777" w:rsidR="00BF2A92" w:rsidRDefault="009577A4">
      <w:pPr>
        <w:spacing w:after="0" w:line="240" w:lineRule="auto"/>
      </w:pPr>
      <w:r>
        <w:separator/>
      </w:r>
    </w:p>
  </w:endnote>
  <w:endnote w:type="continuationSeparator" w:id="0">
    <w:p w14:paraId="1891F8FC" w14:textId="77777777" w:rsidR="00BF2A92" w:rsidRDefault="00957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479A8" w14:textId="77777777" w:rsidR="00AD26BA" w:rsidRDefault="009577A4">
      <w:pPr>
        <w:spacing w:after="0" w:line="266" w:lineRule="auto"/>
        <w:ind w:right="0" w:firstLine="0"/>
        <w:jc w:val="left"/>
      </w:pPr>
      <w:r>
        <w:separator/>
      </w:r>
    </w:p>
  </w:footnote>
  <w:footnote w:type="continuationSeparator" w:id="0">
    <w:p w14:paraId="4845AF1A" w14:textId="77777777" w:rsidR="00AD26BA" w:rsidRDefault="009577A4">
      <w:pPr>
        <w:spacing w:after="0" w:line="266" w:lineRule="auto"/>
        <w:ind w:right="0" w:firstLine="0"/>
        <w:jc w:val="left"/>
      </w:pPr>
      <w:r>
        <w:continuationSeparator/>
      </w:r>
    </w:p>
  </w:footnote>
  <w:footnote w:id="1">
    <w:p w14:paraId="63D8C9ED" w14:textId="77777777" w:rsidR="00AD26BA" w:rsidRDefault="009577A4">
      <w:pPr>
        <w:pStyle w:val="footnotedescription"/>
      </w:pPr>
      <w:r>
        <w:rPr>
          <w:rStyle w:val="footnotemark"/>
        </w:rPr>
        <w:footnoteRef/>
      </w:r>
      <w:r>
        <w:t xml:space="preserve"> For a list of the opinions in which the Compliance Board has found that a public body violated the Act by adopting a closing statement that contained only “uninformative boilerplate,” see Topic 5(C)(3) in the index under the “Compliance Board” heading at</w:t>
      </w:r>
      <w:hyperlink r:id="rId1">
        <w:r>
          <w:t xml:space="preserve"> </w:t>
        </w:r>
      </w:hyperlink>
      <w:hyperlink r:id="rId2">
        <w:r>
          <w:rPr>
            <w:color w:val="0563C1"/>
            <w:sz w:val="20"/>
            <w:u w:val="single" w:color="0563C1"/>
          </w:rPr>
          <w:t>https://www.marylandattorneygeneral.gov/OpenGov%20</w:t>
        </w:r>
      </w:hyperlink>
      <w:hyperlink r:id="rId3">
        <w:r>
          <w:rPr>
            <w:color w:val="0563C1"/>
            <w:sz w:val="20"/>
          </w:rPr>
          <w:t xml:space="preserve"> </w:t>
        </w:r>
      </w:hyperlink>
      <w:hyperlink r:id="rId4">
        <w:r>
          <w:rPr>
            <w:color w:val="0563C1"/>
            <w:sz w:val="20"/>
            <w:u w:val="single" w:color="0563C1"/>
          </w:rPr>
          <w:t>Documents/Openmeetings/OMCB_Topical_Index.pdf</w:t>
        </w:r>
      </w:hyperlink>
      <w:hyperlink r:id="rId5">
        <w:r>
          <w:rPr>
            <w:sz w:val="20"/>
          </w:rPr>
          <w:t xml:space="preserve"> </w:t>
        </w:r>
      </w:hyperlink>
      <w:r>
        <w:rPr>
          <w:sz w:val="20"/>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4329D" w14:textId="77777777" w:rsidR="00AD26BA" w:rsidRDefault="009577A4">
    <w:pPr>
      <w:tabs>
        <w:tab w:val="right" w:pos="9362"/>
      </w:tabs>
      <w:spacing w:after="0" w:line="259" w:lineRule="auto"/>
      <w:ind w:right="0" w:firstLine="0"/>
      <w:jc w:val="left"/>
    </w:pPr>
    <w:r>
      <w:rPr>
        <w:rFonts w:ascii="Sylfaen" w:eastAsia="Sylfaen" w:hAnsi="Sylfaen" w:cs="Sylfaen"/>
        <w:u w:val="single" w:color="000000"/>
      </w:rPr>
      <w:t xml:space="preserve">Open Meetings Act Manual (10th ed., January 2021) </w:t>
    </w:r>
    <w:r>
      <w:rPr>
        <w:rFonts w:ascii="Sylfaen" w:eastAsia="Sylfaen" w:hAnsi="Sylfaen" w:cs="Sylfaen"/>
        <w:u w:val="single" w:color="000000"/>
      </w:rPr>
      <w:tab/>
      <w:t>5-</w:t>
    </w:r>
    <w:r>
      <w:fldChar w:fldCharType="begin"/>
    </w:r>
    <w:r>
      <w:instrText xml:space="preserve"> PAGE   \* MERGEFORMAT </w:instrText>
    </w:r>
    <w:r>
      <w:fldChar w:fldCharType="separate"/>
    </w:r>
    <w:r>
      <w:rPr>
        <w:rFonts w:ascii="Sylfaen" w:eastAsia="Sylfaen" w:hAnsi="Sylfaen" w:cs="Sylfaen"/>
        <w:u w:val="single" w:color="000000"/>
      </w:rPr>
      <w:t>2</w:t>
    </w:r>
    <w:r>
      <w:rPr>
        <w:rFonts w:ascii="Sylfaen" w:eastAsia="Sylfaen" w:hAnsi="Sylfaen" w:cs="Sylfaen"/>
        <w:u w:val="single" w:color="000000"/>
      </w:rPr>
      <w:fldChar w:fldCharType="end"/>
    </w:r>
    <w:r>
      <w:rPr>
        <w:rFonts w:ascii="Sylfaen" w:eastAsia="Sylfaen" w:hAnsi="Sylfaen" w:cs="Sylfaen"/>
      </w:rPr>
      <w:t xml:space="preserve"> </w:t>
    </w:r>
  </w:p>
  <w:p w14:paraId="71E67524" w14:textId="77777777" w:rsidR="00AD26BA" w:rsidRDefault="009577A4">
    <w:pPr>
      <w:spacing w:after="0" w:line="259" w:lineRule="auto"/>
      <w:ind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B0276" w14:textId="77777777" w:rsidR="00AD26BA" w:rsidRDefault="009577A4">
    <w:pPr>
      <w:tabs>
        <w:tab w:val="right" w:pos="9362"/>
      </w:tabs>
      <w:spacing w:after="0" w:line="259" w:lineRule="auto"/>
      <w:ind w:right="0" w:firstLine="0"/>
      <w:jc w:val="left"/>
    </w:pPr>
    <w:r>
      <w:rPr>
        <w:rFonts w:ascii="Sylfaen" w:eastAsia="Sylfaen" w:hAnsi="Sylfaen" w:cs="Sylfaen"/>
        <w:u w:val="single" w:color="000000"/>
      </w:rPr>
      <w:t xml:space="preserve">Open Meetings Act Manual (10th ed., January 2021) </w:t>
    </w:r>
    <w:r>
      <w:rPr>
        <w:rFonts w:ascii="Sylfaen" w:eastAsia="Sylfaen" w:hAnsi="Sylfaen" w:cs="Sylfaen"/>
        <w:u w:val="single" w:color="000000"/>
      </w:rPr>
      <w:tab/>
      <w:t>5-</w:t>
    </w:r>
    <w:r>
      <w:fldChar w:fldCharType="begin"/>
    </w:r>
    <w:r>
      <w:instrText xml:space="preserve"> PAGE   \* MERGEFORMAT </w:instrText>
    </w:r>
    <w:r>
      <w:fldChar w:fldCharType="separate"/>
    </w:r>
    <w:r>
      <w:rPr>
        <w:rFonts w:ascii="Sylfaen" w:eastAsia="Sylfaen" w:hAnsi="Sylfaen" w:cs="Sylfaen"/>
        <w:u w:val="single" w:color="000000"/>
      </w:rPr>
      <w:t>2</w:t>
    </w:r>
    <w:r>
      <w:rPr>
        <w:rFonts w:ascii="Sylfaen" w:eastAsia="Sylfaen" w:hAnsi="Sylfaen" w:cs="Sylfaen"/>
        <w:u w:val="single" w:color="000000"/>
      </w:rPr>
      <w:fldChar w:fldCharType="end"/>
    </w:r>
    <w:r>
      <w:rPr>
        <w:rFonts w:ascii="Sylfaen" w:eastAsia="Sylfaen" w:hAnsi="Sylfaen" w:cs="Sylfaen"/>
      </w:rPr>
      <w:t xml:space="preserve"> </w:t>
    </w:r>
  </w:p>
  <w:p w14:paraId="665A172C" w14:textId="77777777" w:rsidR="00AD26BA" w:rsidRDefault="009577A4">
    <w:pPr>
      <w:spacing w:after="0" w:line="259" w:lineRule="auto"/>
      <w:ind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F3B83" w14:textId="77777777" w:rsidR="00AD26BA" w:rsidRDefault="00AD26BA">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7097B"/>
    <w:multiLevelType w:val="hybridMultilevel"/>
    <w:tmpl w:val="DD2EE224"/>
    <w:lvl w:ilvl="0" w:tplc="20E6A1B4">
      <w:start w:val="1"/>
      <w:numFmt w:val="bullet"/>
      <w:lvlText w:val="•"/>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1BA63A26">
      <w:start w:val="1"/>
      <w:numFmt w:val="bullet"/>
      <w:lvlText w:val="o"/>
      <w:lvlJc w:val="left"/>
      <w:pPr>
        <w:ind w:left="180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4FD638E0">
      <w:start w:val="1"/>
      <w:numFmt w:val="bullet"/>
      <w:lvlText w:val="▪"/>
      <w:lvlJc w:val="left"/>
      <w:pPr>
        <w:ind w:left="252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4F08604C">
      <w:start w:val="1"/>
      <w:numFmt w:val="bullet"/>
      <w:lvlText w:val="•"/>
      <w:lvlJc w:val="left"/>
      <w:pPr>
        <w:ind w:left="324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ED4E728">
      <w:start w:val="1"/>
      <w:numFmt w:val="bullet"/>
      <w:lvlText w:val="o"/>
      <w:lvlJc w:val="left"/>
      <w:pPr>
        <w:ind w:left="396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9ABE17B4">
      <w:start w:val="1"/>
      <w:numFmt w:val="bullet"/>
      <w:lvlText w:val="▪"/>
      <w:lvlJc w:val="left"/>
      <w:pPr>
        <w:ind w:left="468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ADE47FB4">
      <w:start w:val="1"/>
      <w:numFmt w:val="bullet"/>
      <w:lvlText w:val="•"/>
      <w:lvlJc w:val="left"/>
      <w:pPr>
        <w:ind w:left="540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074BA0C">
      <w:start w:val="1"/>
      <w:numFmt w:val="bullet"/>
      <w:lvlText w:val="o"/>
      <w:lvlJc w:val="left"/>
      <w:pPr>
        <w:ind w:left="612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3505588">
      <w:start w:val="1"/>
      <w:numFmt w:val="bullet"/>
      <w:lvlText w:val="▪"/>
      <w:lvlJc w:val="left"/>
      <w:pPr>
        <w:ind w:left="684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55D052BE"/>
    <w:multiLevelType w:val="hybridMultilevel"/>
    <w:tmpl w:val="37AAC73E"/>
    <w:lvl w:ilvl="0" w:tplc="0DDC13AA">
      <w:start w:val="100"/>
      <w:numFmt w:val="upperRoman"/>
      <w:pStyle w:val="Heading1"/>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A9ACDC82">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EC064DD2">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FF1C5B14">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84F8B38C">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94FADA36">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E2FC87F0">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850CC264">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2FE0F71E">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8"/>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6BA"/>
    <w:rsid w:val="00680A2D"/>
    <w:rsid w:val="009577A4"/>
    <w:rsid w:val="009D7DBC"/>
    <w:rsid w:val="00AD26BA"/>
    <w:rsid w:val="00BF2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EE7B8"/>
  <w15:docId w15:val="{36539483-A2F9-4708-88B4-60E0BCF8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right="3" w:firstLine="71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qFormat/>
    <w:pPr>
      <w:keepNext/>
      <w:keepLines/>
      <w:numPr>
        <w:numId w:val="2"/>
      </w:numPr>
      <w:spacing w:after="13" w:line="248" w:lineRule="auto"/>
      <w:ind w:left="10" w:hanging="10"/>
      <w:outlineLvl w:val="0"/>
    </w:pPr>
    <w:rPr>
      <w:rFonts w:ascii="Times New Roman" w:eastAsia="Times New Roman" w:hAnsi="Times New Roman" w:cs="Times New Roman"/>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8"/>
    </w:rPr>
  </w:style>
  <w:style w:type="paragraph" w:customStyle="1" w:styleId="footnotedescription">
    <w:name w:val="footnote description"/>
    <w:next w:val="Normal"/>
    <w:link w:val="footnotedescriptionChar"/>
    <w:hidden/>
    <w:pPr>
      <w:spacing w:after="0" w:line="266" w:lineRule="auto"/>
    </w:pPr>
    <w:rPr>
      <w:rFonts w:ascii="Times New Roman" w:eastAsia="Times New Roman" w:hAnsi="Times New Roman" w:cs="Times New Roman"/>
      <w:color w:val="000000"/>
    </w:rPr>
  </w:style>
  <w:style w:type="character" w:customStyle="1" w:styleId="footnotedescriptionChar">
    <w:name w:val="footnote description Char"/>
    <w:link w:val="footnotedescription"/>
    <w:rPr>
      <w:rFonts w:ascii="Times New Roman" w:eastAsia="Times New Roman" w:hAnsi="Times New Roman" w:cs="Times New Roman"/>
      <w:color w:val="000000"/>
      <w:sz w:val="22"/>
    </w:rPr>
  </w:style>
  <w:style w:type="character" w:customStyle="1" w:styleId="footnotemark">
    <w:name w:val="footnote mark"/>
    <w:hidden/>
    <w:rPr>
      <w:rFonts w:ascii="Times New Roman" w:eastAsia="Times New Roman" w:hAnsi="Times New Roman" w:cs="Times New Roman"/>
      <w:color w:val="000000"/>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marylandattorneygeneral.gov/Pages/OpenGov/Openmeetings/default.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rylandattorneygeneral.gov/Pages/OpenGov/Openmeetings/default.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rylandattorneygeneral.gov/Pages/OpenGov/Openmeetings/default.aspx"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arylandattorneygeneral.gov/OpenGov%20%20Documents/Openmeetings/OMCB_Topical_Index.pdf" TargetMode="External"/><Relationship Id="rId2" Type="http://schemas.openxmlformats.org/officeDocument/2006/relationships/hyperlink" Target="https://www.marylandattorneygeneral.gov/OpenGov%20%20Documents/Openmeetings/OMCB_Topical_Index.pdf" TargetMode="External"/><Relationship Id="rId1" Type="http://schemas.openxmlformats.org/officeDocument/2006/relationships/hyperlink" Target="https://www.marylandattorneygeneral.gov/OpenGov%20%20Documents/Openmeetings/OMCB_Topical_Index.pdf" TargetMode="External"/><Relationship Id="rId5" Type="http://schemas.openxmlformats.org/officeDocument/2006/relationships/hyperlink" Target="https://www.marylandattorneygeneral.gov/OpenGov%20%20Documents/Openmeetings/OMCB_Topical_Index.pdf" TargetMode="External"/><Relationship Id="rId4" Type="http://schemas.openxmlformats.org/officeDocument/2006/relationships/hyperlink" Target="https://www.marylandattorneygeneral.gov/OpenGov%20%20Documents/Openmeetings/OMCB_Topical_Inde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1889</Words>
  <Characters>10770</Characters>
  <Application>Microsoft Office Word</Application>
  <DocSecurity>0</DocSecurity>
  <Lines>89</Lines>
  <Paragraphs>25</Paragraphs>
  <ScaleCrop>false</ScaleCrop>
  <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 Deborah</dc:creator>
  <cp:keywords/>
  <cp:lastModifiedBy>Stephen Rideout</cp:lastModifiedBy>
  <cp:revision>2</cp:revision>
  <dcterms:created xsi:type="dcterms:W3CDTF">2021-03-31T12:22:00Z</dcterms:created>
  <dcterms:modified xsi:type="dcterms:W3CDTF">2021-03-31T12:22:00Z</dcterms:modified>
</cp:coreProperties>
</file>